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EC" w:rsidRDefault="000A03E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A03EC" w:rsidRDefault="000A03EC">
      <w:pPr>
        <w:pStyle w:val="ConsPlusNormal"/>
        <w:jc w:val="both"/>
        <w:outlineLvl w:val="0"/>
      </w:pPr>
    </w:p>
    <w:p w:rsidR="000A03EC" w:rsidRDefault="000A03E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A03EC" w:rsidRDefault="000A03EC">
      <w:pPr>
        <w:pStyle w:val="ConsPlusTitle"/>
        <w:jc w:val="center"/>
      </w:pPr>
    </w:p>
    <w:p w:rsidR="000A03EC" w:rsidRDefault="000A03EC">
      <w:pPr>
        <w:pStyle w:val="ConsPlusTitle"/>
        <w:jc w:val="center"/>
      </w:pPr>
      <w:r>
        <w:t>ПОСТАНОВЛЕНИЕ</w:t>
      </w:r>
    </w:p>
    <w:p w:rsidR="000A03EC" w:rsidRDefault="000A03EC">
      <w:pPr>
        <w:pStyle w:val="ConsPlusTitle"/>
        <w:jc w:val="center"/>
      </w:pPr>
      <w:r>
        <w:t>от 29 июля 2020 г. N 1134</w:t>
      </w:r>
    </w:p>
    <w:p w:rsidR="000A03EC" w:rsidRDefault="000A03EC">
      <w:pPr>
        <w:pStyle w:val="ConsPlusTitle"/>
        <w:jc w:val="center"/>
      </w:pPr>
    </w:p>
    <w:p w:rsidR="000A03EC" w:rsidRDefault="000A03EC">
      <w:pPr>
        <w:pStyle w:val="ConsPlusTitle"/>
        <w:jc w:val="center"/>
      </w:pPr>
      <w:r>
        <w:t>ОБ УТВЕРЖДЕНИИ ПОЛОЖЕНИЯ</w:t>
      </w:r>
    </w:p>
    <w:p w:rsidR="000A03EC" w:rsidRDefault="000A03EC">
      <w:pPr>
        <w:pStyle w:val="ConsPlusTitle"/>
        <w:jc w:val="center"/>
      </w:pPr>
      <w:r>
        <w:t>О ВЕДЕНИИ ЕДИНОЙ АВТОМАТИЗИРОВАННОЙ ИНФОРМАЦИОННОЙ СИСТЕМЫ</w:t>
      </w:r>
    </w:p>
    <w:p w:rsidR="000A03EC" w:rsidRDefault="000A03EC">
      <w:pPr>
        <w:pStyle w:val="ConsPlusTitle"/>
        <w:jc w:val="center"/>
      </w:pPr>
      <w:r>
        <w:t>ТЕХНИЧЕСКОГО ОСМОТРА И ОБ ОРГАНИЗАЦИИ ВЗАИМОДЕЙСТВИЯ</w:t>
      </w:r>
    </w:p>
    <w:p w:rsidR="000A03EC" w:rsidRDefault="000A03EC">
      <w:pPr>
        <w:pStyle w:val="ConsPlusTitle"/>
        <w:jc w:val="center"/>
      </w:pPr>
      <w:r>
        <w:t>ПРИ ЕЕ ИСПОЛЬЗОВАНИИ</w:t>
      </w:r>
    </w:p>
    <w:p w:rsidR="000A03EC" w:rsidRDefault="000A03EC">
      <w:pPr>
        <w:pStyle w:val="ConsPlusNormal"/>
        <w:jc w:val="both"/>
      </w:pPr>
    </w:p>
    <w:p w:rsidR="000A03EC" w:rsidRDefault="000A03E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частями 4.6</w:t>
        </w:r>
      </w:hyperlink>
      <w:r>
        <w:t xml:space="preserve">, </w:t>
      </w:r>
      <w:hyperlink r:id="rId7" w:history="1">
        <w:r>
          <w:rPr>
            <w:color w:val="0000FF"/>
          </w:rPr>
          <w:t>5</w:t>
        </w:r>
      </w:hyperlink>
      <w:r>
        <w:t xml:space="preserve"> и </w:t>
      </w:r>
      <w:hyperlink r:id="rId8" w:history="1">
        <w:r>
          <w:rPr>
            <w:color w:val="0000FF"/>
          </w:rPr>
          <w:t>6 статьи 12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ведении единой автоматизированной информационной системы технического осмотра и об организации взаимодействия при ее использовании.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Реализация полномочий, предусмотренных </w:t>
      </w:r>
      <w:hyperlink w:anchor="P29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постановлением, осуществляется Министерством внутренних дел Российской Федерации в пределах установленной предельной численности работников центрального аппарата и территориальных органов указанного Министерства и бюджетных ассигнований, предусмотренных ему в федеральном бюджете на руководство и управление в сфере установленных функций.</w:t>
      </w:r>
      <w:proofErr w:type="gramEnd"/>
    </w:p>
    <w:p w:rsidR="000A03EC" w:rsidRDefault="000A03EC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со дня вступления в силу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Федерации".</w:t>
      </w:r>
    </w:p>
    <w:p w:rsidR="000A03EC" w:rsidRDefault="000A03EC">
      <w:pPr>
        <w:pStyle w:val="ConsPlusNormal"/>
        <w:jc w:val="both"/>
      </w:pPr>
    </w:p>
    <w:p w:rsidR="000A03EC" w:rsidRDefault="000A03EC">
      <w:pPr>
        <w:pStyle w:val="ConsPlusNormal"/>
        <w:jc w:val="right"/>
      </w:pPr>
      <w:r>
        <w:t>Председатель Правительства</w:t>
      </w:r>
    </w:p>
    <w:p w:rsidR="000A03EC" w:rsidRDefault="000A03EC">
      <w:pPr>
        <w:pStyle w:val="ConsPlusNormal"/>
        <w:jc w:val="right"/>
      </w:pPr>
      <w:r>
        <w:t>Российской Федерации</w:t>
      </w:r>
    </w:p>
    <w:p w:rsidR="000A03EC" w:rsidRDefault="000A03EC">
      <w:pPr>
        <w:pStyle w:val="ConsPlusNormal"/>
        <w:jc w:val="right"/>
      </w:pPr>
      <w:r>
        <w:t>М.МИШУСТИН</w:t>
      </w:r>
    </w:p>
    <w:p w:rsidR="000A03EC" w:rsidRDefault="000A03EC">
      <w:pPr>
        <w:pStyle w:val="ConsPlusNormal"/>
        <w:jc w:val="both"/>
      </w:pPr>
    </w:p>
    <w:p w:rsidR="000A03EC" w:rsidRDefault="000A03EC">
      <w:pPr>
        <w:pStyle w:val="ConsPlusNormal"/>
        <w:jc w:val="both"/>
      </w:pPr>
    </w:p>
    <w:p w:rsidR="000A03EC" w:rsidRDefault="000A03EC">
      <w:pPr>
        <w:pStyle w:val="ConsPlusNormal"/>
        <w:jc w:val="both"/>
      </w:pPr>
    </w:p>
    <w:p w:rsidR="000A03EC" w:rsidRDefault="000A03EC">
      <w:pPr>
        <w:pStyle w:val="ConsPlusNormal"/>
        <w:jc w:val="both"/>
      </w:pPr>
    </w:p>
    <w:p w:rsidR="000A03EC" w:rsidRDefault="000A03EC">
      <w:pPr>
        <w:pStyle w:val="ConsPlusNormal"/>
        <w:jc w:val="both"/>
      </w:pPr>
    </w:p>
    <w:p w:rsidR="000A03EC" w:rsidRDefault="000A03EC">
      <w:pPr>
        <w:pStyle w:val="ConsPlusNormal"/>
        <w:jc w:val="right"/>
        <w:outlineLvl w:val="0"/>
      </w:pPr>
      <w:r>
        <w:t>Утверждено</w:t>
      </w:r>
    </w:p>
    <w:p w:rsidR="000A03EC" w:rsidRDefault="000A03EC">
      <w:pPr>
        <w:pStyle w:val="ConsPlusNormal"/>
        <w:jc w:val="right"/>
      </w:pPr>
      <w:r>
        <w:t>постановлением Правительства</w:t>
      </w:r>
    </w:p>
    <w:p w:rsidR="000A03EC" w:rsidRDefault="000A03EC">
      <w:pPr>
        <w:pStyle w:val="ConsPlusNormal"/>
        <w:jc w:val="right"/>
      </w:pPr>
      <w:r>
        <w:t>Российской Федерации</w:t>
      </w:r>
    </w:p>
    <w:p w:rsidR="000A03EC" w:rsidRDefault="000A03EC">
      <w:pPr>
        <w:pStyle w:val="ConsPlusNormal"/>
        <w:jc w:val="right"/>
      </w:pPr>
      <w:r>
        <w:t>от 29 июля 2020 г. N 1134</w:t>
      </w:r>
    </w:p>
    <w:p w:rsidR="000A03EC" w:rsidRDefault="000A03EC">
      <w:pPr>
        <w:pStyle w:val="ConsPlusNormal"/>
        <w:jc w:val="both"/>
      </w:pPr>
    </w:p>
    <w:p w:rsidR="000A03EC" w:rsidRDefault="000A03EC">
      <w:pPr>
        <w:pStyle w:val="ConsPlusTitle"/>
        <w:jc w:val="center"/>
      </w:pPr>
      <w:bookmarkStart w:id="0" w:name="P29"/>
      <w:bookmarkEnd w:id="0"/>
      <w:r>
        <w:t>ПОЛОЖЕНИЕ</w:t>
      </w:r>
    </w:p>
    <w:p w:rsidR="000A03EC" w:rsidRDefault="000A03EC">
      <w:pPr>
        <w:pStyle w:val="ConsPlusTitle"/>
        <w:jc w:val="center"/>
      </w:pPr>
      <w:r>
        <w:t>О ВЕДЕНИИ ЕДИНОЙ АВТОМАТИЗИРОВАННОЙ ИНФОРМАЦИОННОЙ СИСТЕМЫ</w:t>
      </w:r>
    </w:p>
    <w:p w:rsidR="000A03EC" w:rsidRDefault="000A03EC">
      <w:pPr>
        <w:pStyle w:val="ConsPlusTitle"/>
        <w:jc w:val="center"/>
      </w:pPr>
      <w:r>
        <w:t>ТЕХНИЧЕСКОГО ОСМОТРА И ОБ ОРГАНИЗАЦИИ ВЗАИМОДЕЙСТВИЯ</w:t>
      </w:r>
    </w:p>
    <w:p w:rsidR="000A03EC" w:rsidRDefault="000A03EC">
      <w:pPr>
        <w:pStyle w:val="ConsPlusTitle"/>
        <w:jc w:val="center"/>
      </w:pPr>
      <w:r>
        <w:t>ПРИ ЕЕ ИСПОЛЬЗОВАНИИ</w:t>
      </w:r>
    </w:p>
    <w:p w:rsidR="000A03EC" w:rsidRDefault="000A03EC">
      <w:pPr>
        <w:pStyle w:val="ConsPlusNormal"/>
        <w:jc w:val="both"/>
      </w:pPr>
    </w:p>
    <w:p w:rsidR="000A03EC" w:rsidRDefault="000A03EC">
      <w:pPr>
        <w:pStyle w:val="ConsPlusTitle"/>
        <w:jc w:val="center"/>
        <w:outlineLvl w:val="1"/>
      </w:pPr>
      <w:r>
        <w:t>I. Общие положения</w:t>
      </w:r>
    </w:p>
    <w:p w:rsidR="000A03EC" w:rsidRDefault="000A03EC">
      <w:pPr>
        <w:pStyle w:val="ConsPlusNormal"/>
        <w:jc w:val="both"/>
      </w:pPr>
    </w:p>
    <w:p w:rsidR="000A03EC" w:rsidRDefault="000A03E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определяет правила ведения единой автоматизированной </w:t>
      </w:r>
      <w:r>
        <w:lastRenderedPageBreak/>
        <w:t xml:space="preserve">информационной системы технического осмотра транспортных средств (далее - система технического осмотра) (в том числе порядок и сроки передачи сведений в систему технического осмотра), порядок ее взаимодействия с автоматизированной информационной системой обязательного страхования, созданной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обязательном страховании гражданской ответственности владельцев транспортных средств" (далее - система обязательного страхования), и порядок взаимодействия федерального</w:t>
      </w:r>
      <w:proofErr w:type="gramEnd"/>
      <w:r>
        <w:t xml:space="preserve"> органа исполнительной власти, уполномоченного на осуществление государственного контроля (надзора) за организацией и проведением технического осмотра транспортных средств операторами технического осмотра (далее - орган государственного контроля), операторов технического осмотра и профессионального объединения страховщиков при использовании системы технического осмотра, в том числе с использованием единой системы межведомственного электронного взаимодействия.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 xml:space="preserve">2. Эксплуатация системы технического осмотра осуществляется Министерством внутренних дел Российской Федерации (далее - оператор системы технического осмотра) в электронном виде с соблюдением требований, установленных законодательством Российской Федерации в области персональных данных, а также с применением стандартизированных технических и программных средств, </w:t>
      </w:r>
      <w:proofErr w:type="gramStart"/>
      <w:r>
        <w:t>позволяющих</w:t>
      </w:r>
      <w:proofErr w:type="gramEnd"/>
      <w:r>
        <w:t xml:space="preserve"> в том числе осуществлять обработку информации на основе использования единых форматов и стандартных протоколов.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>Система технического осмотра является государственной информационной системой.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Информационное взаимодействие оператора системы технического осмотра, органа государственного контроля, операторов технического осмотра, профессионального объединения страховщиков и исполнительных органов государственной власти субъектов Российской Федерации (далее - участники информационного взаимодействия) при использовании системы технического осмотра осуществляется с применением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услуг и исполнения государственных функций в электронном виде, и ее компонентов.</w:t>
      </w:r>
      <w:proofErr w:type="gramEnd"/>
    </w:p>
    <w:p w:rsidR="000A03EC" w:rsidRDefault="000A03EC">
      <w:pPr>
        <w:pStyle w:val="ConsPlusNormal"/>
        <w:spacing w:before="220"/>
        <w:ind w:firstLine="540"/>
        <w:jc w:val="both"/>
      </w:pPr>
      <w:r>
        <w:t>4. Оператор системы технического осмотра обеспечивает техническую поддержку участникам информационного взаимодействия по вопросам работы системы технического осмотра.</w:t>
      </w:r>
    </w:p>
    <w:p w:rsidR="000A03EC" w:rsidRDefault="000A03EC">
      <w:pPr>
        <w:pStyle w:val="ConsPlusNormal"/>
        <w:jc w:val="both"/>
      </w:pPr>
    </w:p>
    <w:p w:rsidR="000A03EC" w:rsidRDefault="000A03EC">
      <w:pPr>
        <w:pStyle w:val="ConsPlusTitle"/>
        <w:jc w:val="center"/>
        <w:outlineLvl w:val="1"/>
      </w:pPr>
      <w:r>
        <w:t>II. Правила ведения системы технического осмотра</w:t>
      </w:r>
    </w:p>
    <w:p w:rsidR="000A03EC" w:rsidRDefault="000A03EC">
      <w:pPr>
        <w:pStyle w:val="ConsPlusNormal"/>
        <w:jc w:val="both"/>
      </w:pPr>
    </w:p>
    <w:p w:rsidR="000A03EC" w:rsidRDefault="000A03EC">
      <w:pPr>
        <w:pStyle w:val="ConsPlusNormal"/>
        <w:ind w:firstLine="540"/>
        <w:jc w:val="both"/>
      </w:pPr>
      <w:r>
        <w:t xml:space="preserve">5. Передаче в систему технического осмотра подлежат сведения, предусмотренные </w:t>
      </w:r>
      <w:hyperlink r:id="rId11" w:history="1">
        <w:r>
          <w:rPr>
            <w:color w:val="0000FF"/>
          </w:rPr>
          <w:t>частями 2</w:t>
        </w:r>
      </w:hyperlink>
      <w:r>
        <w:t xml:space="preserve"> и </w:t>
      </w:r>
      <w:hyperlink r:id="rId12" w:history="1">
        <w:r>
          <w:rPr>
            <w:color w:val="0000FF"/>
          </w:rPr>
          <w:t>3 статьи 12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в сроки, предусмотренные </w:t>
      </w:r>
      <w:hyperlink r:id="rId13" w:history="1">
        <w:r>
          <w:rPr>
            <w:color w:val="0000FF"/>
          </w:rPr>
          <w:t>частями 4</w:t>
        </w:r>
      </w:hyperlink>
      <w:r>
        <w:t xml:space="preserve">, </w:t>
      </w:r>
      <w:hyperlink r:id="rId14" w:history="1">
        <w:r>
          <w:rPr>
            <w:color w:val="0000FF"/>
          </w:rPr>
          <w:t>4.2</w:t>
        </w:r>
      </w:hyperlink>
      <w:r>
        <w:t xml:space="preserve"> и </w:t>
      </w:r>
      <w:hyperlink r:id="rId15" w:history="1">
        <w:r>
          <w:rPr>
            <w:color w:val="0000FF"/>
          </w:rPr>
          <w:t>4.3 статьи 12</w:t>
        </w:r>
      </w:hyperlink>
      <w:r>
        <w:t xml:space="preserve"> указанного Федерального закона.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 xml:space="preserve">6. Система технического осмотра ведется на государственном </w:t>
      </w:r>
      <w:proofErr w:type="gramStart"/>
      <w:r>
        <w:t>языке</w:t>
      </w:r>
      <w:proofErr w:type="gramEnd"/>
      <w:r>
        <w:t xml:space="preserve"> Российской Федерации.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>Размещение сведений в системе технического осмотра допускается с использованием букв латинского алфавита в указании наименования марки и модели транспортного средства, его идентификационного номера (VIN), номера кузова, номера шасси (рамы), а также адресов электронной почты и официального сайта оператора технического осмотра в информационно-телекоммуникационной сети "Интернет" (далее - сеть "Интернет").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>7. При оформлении диагностической карты в системе технического осмотра ей присваивается уникальный регистрационный номер (повторное присвоение уникального регистрационного номера в системе технического осмотра не допускается).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 xml:space="preserve">8. В системе технического осмотра диагностической карте присваивается статус </w:t>
      </w:r>
      <w:r>
        <w:lastRenderedPageBreak/>
        <w:t>"действующая", "архивная" или "аннулированная".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>Статус "действующая" присваивается диагностической карте при ее оформлении в системе технического осмотра по результатам проведения технического осмотра. Статус действует до истечения срока действия или изменения этого статуса на статус "архивная" или "аннулированная" в случаях, предусмотренных абзацами третьим и четвертым настоящего пункта.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>Статус "архивная" присваивается диагностической карте в случаях истечения срока ее действия, оформления новой диагностической карты взамен такой диагностической карты по результатам проведения повторного технического осмотра или наличия ошибок оформления.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>Статус "аннулированная" присваивается диагностической карте в случае принятия органом государственного контроля решения об аннулировании диагностической карты.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>Диагностические карты, имеющие статус "архивная" или "аннулированная", доступны для предоставления из системы технического осмотра содержащихся в них сведений.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>9. Оформленная в системе технического осмотра диагностическая карта хранится в системе технического осмотра не менее 5 лет. При этом в течение указанного срока обеспечивается невозможность ее уничтожения и изъятия.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системе технического осмотра обеспечивается невозможность оформления диагностической карты в случае превышения значения пропускной способности соответствующего пункта технического осмотра, включенного в реестр операторов технического осмотра в соответствии с </w:t>
      </w:r>
      <w:hyperlink r:id="rId16" w:history="1">
        <w:r>
          <w:rPr>
            <w:color w:val="0000FF"/>
          </w:rPr>
          <w:t>частью 3 статьи 11.1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более чем на 5 процентов.</w:t>
      </w:r>
      <w:proofErr w:type="gramEnd"/>
    </w:p>
    <w:p w:rsidR="000A03EC" w:rsidRDefault="000A03EC">
      <w:pPr>
        <w:pStyle w:val="ConsPlusNormal"/>
        <w:spacing w:before="220"/>
        <w:ind w:firstLine="540"/>
        <w:jc w:val="both"/>
      </w:pPr>
      <w:r>
        <w:t>11. Сведения, содержащиеся в системе технического осмотра, являются общедоступными, за исключением сведений, доступ к которым ограничен в соответствии с федеральными законами.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 xml:space="preserve">Сведения, содержащиеся в системе технического осмотра, размещаются оператором системы технического осмотра в сети "Интернет" и предоставляются в электронном виде по форме согласно </w:t>
      </w:r>
      <w:hyperlink w:anchor="P100" w:history="1">
        <w:r>
          <w:rPr>
            <w:color w:val="0000FF"/>
          </w:rPr>
          <w:t>приложению</w:t>
        </w:r>
      </w:hyperlink>
      <w:r>
        <w:t xml:space="preserve"> посредством: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>официального сайта оператора системы технического осмотра в сети "Интернет" незамедлительно с момента получения (формирования) таких сведений;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>личного кабинета физического лица в федеральной государственной информационной системе "Единый портал государственных и муниципальных услуг (функций)";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>единой системы межведомственного электронного взаимодействия и иных технических сре</w:t>
      </w:r>
      <w:proofErr w:type="gramStart"/>
      <w:r>
        <w:t>дств св</w:t>
      </w:r>
      <w:proofErr w:type="gramEnd"/>
      <w:r>
        <w:t>язи для обеспечения информационного взаимодействия с системой обязательного страхования и информационными системами органов государственной власти.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>12. Сведения, содержащиеся в системе технического осмотра, предоставляются на безвозмездной основе по запросу, содержащему информацию, позволяющую идентифицировать транспортное средство, в отношении которого проведен технический осмотр (идентификационный номер транспортного средства (VIN), номер кузова, номер шасси (рамы) транспортного средства).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>Такие сведения являются актуальными на момент формирования данных из системы технического осмотра.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 xml:space="preserve">В системе технического осмотра обеспечивается сохранение сведений обо всех поступивших </w:t>
      </w:r>
      <w:r>
        <w:lastRenderedPageBreak/>
        <w:t>запросах и предоставленных по ним сведениях.</w:t>
      </w:r>
    </w:p>
    <w:p w:rsidR="000A03EC" w:rsidRDefault="000A03EC">
      <w:pPr>
        <w:pStyle w:val="ConsPlusNormal"/>
        <w:jc w:val="both"/>
      </w:pPr>
    </w:p>
    <w:p w:rsidR="000A03EC" w:rsidRDefault="000A03EC">
      <w:pPr>
        <w:pStyle w:val="ConsPlusTitle"/>
        <w:jc w:val="center"/>
        <w:outlineLvl w:val="1"/>
      </w:pPr>
      <w:r>
        <w:t>III. Порядок взаимодействия системы технического осмотра</w:t>
      </w:r>
    </w:p>
    <w:p w:rsidR="000A03EC" w:rsidRDefault="000A03EC">
      <w:pPr>
        <w:pStyle w:val="ConsPlusTitle"/>
        <w:jc w:val="center"/>
      </w:pPr>
      <w:r>
        <w:t>с системой обязательного страхования</w:t>
      </w:r>
    </w:p>
    <w:p w:rsidR="000A03EC" w:rsidRDefault="000A03EC">
      <w:pPr>
        <w:pStyle w:val="ConsPlusNormal"/>
        <w:jc w:val="both"/>
      </w:pPr>
    </w:p>
    <w:p w:rsidR="000A03EC" w:rsidRDefault="000A03EC">
      <w:pPr>
        <w:pStyle w:val="ConsPlusNormal"/>
        <w:ind w:firstLine="540"/>
        <w:jc w:val="both"/>
      </w:pPr>
      <w:r>
        <w:t xml:space="preserve">13. </w:t>
      </w:r>
      <w:proofErr w:type="gramStart"/>
      <w:r>
        <w:t>Информационное взаимодействие системы технического осмотра с системой обязательного страхования осуществляется с использованием единой системы межведомственного электронного взаимодействия на основе принципов обеспечения полноты и достоверности информации, предоставляемой и получаемой в рамках информационного взаимодействия, а также обеспечения конфиденциальности информации, доступ к которой ограничен законодательством Российской Федерации об информации, информационных технологиях и о защите информации.</w:t>
      </w:r>
      <w:proofErr w:type="gramEnd"/>
    </w:p>
    <w:p w:rsidR="000A03EC" w:rsidRDefault="000A03EC">
      <w:pPr>
        <w:pStyle w:val="ConsPlusNormal"/>
        <w:spacing w:before="220"/>
        <w:ind w:firstLine="540"/>
        <w:jc w:val="both"/>
      </w:pPr>
      <w:r>
        <w:t>14. Предоставление оператору системы обязательного страхования из системы технического осмотра информации об оформленной диагностической карте осуществляется в электронном виде на основании запроса, поступившего от системы обязательного страхования.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Оператор системы технического осмотра размещает на своем официальном сайте в сети "Интернет" схемы, используемые для предоставления информации в процессе информационного взаимодействия системы технического осмотра с системой обязательного страхования.</w:t>
      </w:r>
      <w:proofErr w:type="gramEnd"/>
    </w:p>
    <w:p w:rsidR="000A03EC" w:rsidRDefault="000A03EC">
      <w:pPr>
        <w:pStyle w:val="ConsPlusNormal"/>
        <w:jc w:val="both"/>
      </w:pPr>
    </w:p>
    <w:p w:rsidR="000A03EC" w:rsidRDefault="000A03EC">
      <w:pPr>
        <w:pStyle w:val="ConsPlusTitle"/>
        <w:jc w:val="center"/>
        <w:outlineLvl w:val="1"/>
      </w:pPr>
      <w:r>
        <w:t>IV. Порядок взаимодействия органа государственного</w:t>
      </w:r>
    </w:p>
    <w:p w:rsidR="000A03EC" w:rsidRDefault="000A03EC">
      <w:pPr>
        <w:pStyle w:val="ConsPlusTitle"/>
        <w:jc w:val="center"/>
      </w:pPr>
      <w:r>
        <w:t>контроля, операторов технического осмотра</w:t>
      </w:r>
    </w:p>
    <w:p w:rsidR="000A03EC" w:rsidRDefault="000A03EC">
      <w:pPr>
        <w:pStyle w:val="ConsPlusTitle"/>
        <w:jc w:val="center"/>
      </w:pPr>
      <w:r>
        <w:t>и профессионального объединения страховщиков</w:t>
      </w:r>
    </w:p>
    <w:p w:rsidR="000A03EC" w:rsidRDefault="000A03EC">
      <w:pPr>
        <w:pStyle w:val="ConsPlusTitle"/>
        <w:jc w:val="center"/>
      </w:pPr>
      <w:r>
        <w:t>при использовании системы технического осмотра</w:t>
      </w:r>
    </w:p>
    <w:p w:rsidR="000A03EC" w:rsidRDefault="000A03EC">
      <w:pPr>
        <w:pStyle w:val="ConsPlusNormal"/>
        <w:jc w:val="both"/>
      </w:pPr>
    </w:p>
    <w:p w:rsidR="000A03EC" w:rsidRDefault="000A03EC">
      <w:pPr>
        <w:pStyle w:val="ConsPlusNormal"/>
        <w:ind w:firstLine="540"/>
        <w:jc w:val="both"/>
      </w:pPr>
      <w:r>
        <w:t>16. В случае организации информационного взаимодействия органа государственного контроля, операторов технического осмотра и профессионального объединения страховщиков при использовании системы технического осмотра применяются квалифицированные сертификаты ключей проверки электронных подписей, выданных удостоверяющими центрами, аккредитованными уполномоченным Правительством Российской Федерации федеральным органом исполнительной власти в сфере использования электронной подписи.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>17. Порядок взаимодействия органа государственного контроля с операторами технического осмотра при использовании системы технического осмотра включает в себя: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>информирование оператора технического осмотра об аннулировании диагностической карты в личном кабинете оператора технического осмотра в системе технического осмотра;</w:t>
      </w:r>
    </w:p>
    <w:p w:rsidR="000A03EC" w:rsidRDefault="000A03EC">
      <w:pPr>
        <w:pStyle w:val="ConsPlusNormal"/>
        <w:spacing w:before="220"/>
        <w:ind w:firstLine="540"/>
        <w:jc w:val="both"/>
      </w:pPr>
      <w:proofErr w:type="gramStart"/>
      <w:r>
        <w:t xml:space="preserve">информирование оператора технического осмотра о невозможности проведения технического осмотра в отношении категорий транспортных средств, не включенных в область аккредитации оператора технического осмотра, или о невозможности оформления диагностической карты в случае, предусмотренном </w:t>
      </w:r>
      <w:hyperlink r:id="rId17" w:history="1">
        <w:r>
          <w:rPr>
            <w:color w:val="0000FF"/>
          </w:rPr>
          <w:t>частью 6 статьи 12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при оформлении оператором технического осмотра новой диагностической карты</w:t>
      </w:r>
      <w:proofErr w:type="gramEnd"/>
      <w:r>
        <w:t xml:space="preserve"> в системе технического осмотра.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>18. Орган государственного контроля с использованием системы технического осмотра направляет информацию об аннулировании диагностической карты профессиональному объединению страховщиков.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>Информирование профессионального объединения страховщиков об аннулировании диагностической карты осуществляется с использованием единой системы межведомственного электронного взаимодействия.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lastRenderedPageBreak/>
        <w:t>19. Профессиональное объединение страховщиков взаимодействует с органом государственного контроля с использованием системы технического осмотра в части, касающейся: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>предоставления информации об операторах технического осмотра, внесенных в реестр операторов технического осмотра, а также изменения этих сведений;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>направления информации о приостановлении действия аттестатов аккредитации в сфере технического осмотра или о возобновлении их действия, а также об аннулировании таких аттестатов аккредитации.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>20. Профессиональное объединение страховщиков направляет с использованием системы технического осмотра операторам технического осмотра информацию о приостановлении действия аттестатов аккредитации в сфере технического осмотра или о возобновлении их действия, а также об аннулировании таких аттестатов аккредитации.</w:t>
      </w:r>
    </w:p>
    <w:p w:rsidR="000A03EC" w:rsidRDefault="000A03EC">
      <w:pPr>
        <w:pStyle w:val="ConsPlusNormal"/>
        <w:spacing w:before="220"/>
        <w:ind w:firstLine="540"/>
        <w:jc w:val="both"/>
      </w:pPr>
      <w:r>
        <w:t xml:space="preserve">21. Профессиональное объединение страховщиков осуществляет с использованием системы технического осмотра постоянное наблюдение за соблюдением операторами технического осмотра требований, предусмотренных </w:t>
      </w:r>
      <w:hyperlink r:id="rId18" w:history="1">
        <w:r>
          <w:rPr>
            <w:color w:val="0000FF"/>
          </w:rPr>
          <w:t>частью 10 статьи 22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0A03EC" w:rsidRDefault="000A03EC">
      <w:pPr>
        <w:pStyle w:val="ConsPlusNormal"/>
        <w:jc w:val="both"/>
      </w:pPr>
    </w:p>
    <w:p w:rsidR="000A03EC" w:rsidRDefault="000A03EC">
      <w:pPr>
        <w:pStyle w:val="ConsPlusNormal"/>
        <w:jc w:val="both"/>
      </w:pPr>
    </w:p>
    <w:p w:rsidR="000A03EC" w:rsidRDefault="000A03EC">
      <w:pPr>
        <w:pStyle w:val="ConsPlusNormal"/>
        <w:jc w:val="both"/>
      </w:pPr>
    </w:p>
    <w:p w:rsidR="000A03EC" w:rsidRDefault="000A03EC">
      <w:pPr>
        <w:pStyle w:val="ConsPlusNormal"/>
        <w:jc w:val="both"/>
      </w:pPr>
    </w:p>
    <w:p w:rsidR="000A03EC" w:rsidRDefault="000A03EC">
      <w:pPr>
        <w:pStyle w:val="ConsPlusNormal"/>
        <w:jc w:val="both"/>
      </w:pPr>
    </w:p>
    <w:p w:rsidR="000A03EC" w:rsidRDefault="000A03EC">
      <w:pPr>
        <w:pStyle w:val="ConsPlusNormal"/>
        <w:jc w:val="right"/>
        <w:outlineLvl w:val="1"/>
      </w:pPr>
      <w:r>
        <w:t>Приложение</w:t>
      </w:r>
    </w:p>
    <w:p w:rsidR="000A03EC" w:rsidRDefault="000A03EC">
      <w:pPr>
        <w:pStyle w:val="ConsPlusNormal"/>
        <w:jc w:val="right"/>
      </w:pPr>
      <w:r>
        <w:t xml:space="preserve">к Положению о ведении </w:t>
      </w:r>
      <w:proofErr w:type="gramStart"/>
      <w:r>
        <w:t>единой</w:t>
      </w:r>
      <w:proofErr w:type="gramEnd"/>
    </w:p>
    <w:p w:rsidR="000A03EC" w:rsidRDefault="000A03EC">
      <w:pPr>
        <w:pStyle w:val="ConsPlusNormal"/>
        <w:jc w:val="right"/>
      </w:pPr>
      <w:r>
        <w:t>автоматизированной информационной системы</w:t>
      </w:r>
    </w:p>
    <w:p w:rsidR="000A03EC" w:rsidRDefault="000A03EC">
      <w:pPr>
        <w:pStyle w:val="ConsPlusNormal"/>
        <w:jc w:val="right"/>
      </w:pPr>
      <w:r>
        <w:t>технического осмотра и об организации</w:t>
      </w:r>
    </w:p>
    <w:p w:rsidR="000A03EC" w:rsidRDefault="000A03EC">
      <w:pPr>
        <w:pStyle w:val="ConsPlusNormal"/>
        <w:jc w:val="right"/>
      </w:pPr>
      <w:r>
        <w:t>взаимодействия при ее использовании</w:t>
      </w:r>
    </w:p>
    <w:p w:rsidR="000A03EC" w:rsidRDefault="000A03EC">
      <w:pPr>
        <w:pStyle w:val="ConsPlusNormal"/>
        <w:jc w:val="both"/>
      </w:pPr>
    </w:p>
    <w:p w:rsidR="000A03EC" w:rsidRDefault="000A03EC">
      <w:pPr>
        <w:pStyle w:val="ConsPlusNormal"/>
        <w:jc w:val="right"/>
      </w:pPr>
      <w:r>
        <w:t>(форма)</w:t>
      </w:r>
    </w:p>
    <w:p w:rsidR="000A03EC" w:rsidRDefault="000A03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4"/>
        <w:gridCol w:w="345"/>
        <w:gridCol w:w="390"/>
        <w:gridCol w:w="404"/>
        <w:gridCol w:w="405"/>
        <w:gridCol w:w="136"/>
        <w:gridCol w:w="164"/>
        <w:gridCol w:w="284"/>
        <w:gridCol w:w="449"/>
        <w:gridCol w:w="180"/>
        <w:gridCol w:w="1884"/>
        <w:gridCol w:w="340"/>
      </w:tblGrid>
      <w:tr w:rsidR="000A03EC">
        <w:tc>
          <w:tcPr>
            <w:tcW w:w="90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A03EC" w:rsidRDefault="000A03EC">
            <w:pPr>
              <w:pStyle w:val="ConsPlusNormal"/>
              <w:jc w:val="center"/>
            </w:pPr>
            <w:bookmarkStart w:id="1" w:name="P100"/>
            <w:bookmarkEnd w:id="1"/>
            <w:r>
              <w:t>СВЕДЕНИЯ,</w:t>
            </w:r>
          </w:p>
          <w:p w:rsidR="000A03EC" w:rsidRDefault="000A03EC">
            <w:pPr>
              <w:pStyle w:val="ConsPlusNormal"/>
              <w:jc w:val="center"/>
            </w:pPr>
            <w:proofErr w:type="gramStart"/>
            <w:r>
              <w:t>содержащиеся</w:t>
            </w:r>
            <w:proofErr w:type="gramEnd"/>
            <w:r>
              <w:t xml:space="preserve"> в единой автоматизированной информационной системе технического осмотра</w:t>
            </w:r>
          </w:p>
        </w:tc>
      </w:tr>
      <w:tr w:rsidR="000A03EC">
        <w:tc>
          <w:tcPr>
            <w:tcW w:w="908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A03EC" w:rsidRDefault="000A03EC">
            <w:pPr>
              <w:pStyle w:val="ConsPlusNormal"/>
            </w:pPr>
          </w:p>
        </w:tc>
      </w:tr>
      <w:tr w:rsidR="000A03EC">
        <w:tc>
          <w:tcPr>
            <w:tcW w:w="908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3EC" w:rsidRDefault="000A03EC">
            <w:pPr>
              <w:pStyle w:val="ConsPlusNormal"/>
              <w:jc w:val="center"/>
            </w:pPr>
            <w:r>
              <w:t>По состоянию на __ ______ 20__ г. ____:____</w:t>
            </w:r>
          </w:p>
        </w:tc>
      </w:tr>
      <w:tr w:rsidR="000A03E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A03EC" w:rsidRDefault="000A03EC">
            <w:pPr>
              <w:pStyle w:val="ConsPlusNormal"/>
            </w:pPr>
          </w:p>
        </w:tc>
        <w:tc>
          <w:tcPr>
            <w:tcW w:w="18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03EC" w:rsidRDefault="000A03E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03EC" w:rsidRDefault="000A03EC">
            <w:pPr>
              <w:pStyle w:val="ConsPlusNormal"/>
              <w:jc w:val="center"/>
            </w:pPr>
            <w:r>
              <w:t>(время)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3EC" w:rsidRDefault="000A03EC">
            <w:pPr>
              <w:pStyle w:val="ConsPlusNormal"/>
            </w:pPr>
          </w:p>
        </w:tc>
      </w:tr>
      <w:tr w:rsidR="000A03EC">
        <w:tc>
          <w:tcPr>
            <w:tcW w:w="4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03EC" w:rsidRDefault="000A03EC">
            <w:pPr>
              <w:pStyle w:val="ConsPlusNormal"/>
            </w:pPr>
            <w:r>
              <w:t>Марка и модель транспортного средства</w:t>
            </w:r>
          </w:p>
        </w:tc>
        <w:tc>
          <w:tcPr>
            <w:tcW w:w="46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3EC" w:rsidRDefault="000A03EC">
            <w:pPr>
              <w:pStyle w:val="ConsPlusNormal"/>
            </w:pPr>
          </w:p>
        </w:tc>
      </w:tr>
      <w:tr w:rsidR="000A03EC">
        <w:tc>
          <w:tcPr>
            <w:tcW w:w="62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3EC" w:rsidRDefault="000A03EC">
            <w:pPr>
              <w:pStyle w:val="ConsPlusNormal"/>
            </w:pPr>
            <w:r>
              <w:t>Идентификационный номер транспортного средства (VIN)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3EC" w:rsidRDefault="000A03EC">
            <w:pPr>
              <w:pStyle w:val="ConsPlusNormal"/>
            </w:pPr>
          </w:p>
        </w:tc>
      </w:tr>
      <w:tr w:rsidR="000A03EC"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3EC" w:rsidRDefault="000A03EC">
            <w:pPr>
              <w:pStyle w:val="ConsPlusNormal"/>
            </w:pPr>
            <w:r>
              <w:t>Номер кузова транспортного средства</w:t>
            </w:r>
          </w:p>
        </w:tc>
        <w:tc>
          <w:tcPr>
            <w:tcW w:w="49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3EC" w:rsidRDefault="000A03EC">
            <w:pPr>
              <w:pStyle w:val="ConsPlusNormal"/>
            </w:pPr>
          </w:p>
        </w:tc>
      </w:tr>
      <w:tr w:rsidR="000A03EC">
        <w:tc>
          <w:tcPr>
            <w:tcW w:w="48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3EC" w:rsidRDefault="000A03EC">
            <w:pPr>
              <w:pStyle w:val="ConsPlusNormal"/>
            </w:pPr>
            <w:r>
              <w:t>Номер шасси (рамы) транспортного средства</w:t>
            </w:r>
          </w:p>
        </w:tc>
        <w:tc>
          <w:tcPr>
            <w:tcW w:w="42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3EC" w:rsidRDefault="000A03EC">
            <w:pPr>
              <w:pStyle w:val="ConsPlusNormal"/>
            </w:pPr>
          </w:p>
        </w:tc>
      </w:tr>
      <w:tr w:rsidR="000A03EC">
        <w:tc>
          <w:tcPr>
            <w:tcW w:w="48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3EC" w:rsidRDefault="000A03EC">
            <w:pPr>
              <w:pStyle w:val="ConsPlusNormal"/>
            </w:pPr>
            <w:r>
              <w:t>Показания одометра транспортного средства</w:t>
            </w:r>
          </w:p>
        </w:tc>
        <w:tc>
          <w:tcPr>
            <w:tcW w:w="42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3EC" w:rsidRDefault="000A03EC">
            <w:pPr>
              <w:pStyle w:val="ConsPlusNormal"/>
            </w:pPr>
          </w:p>
        </w:tc>
      </w:tr>
      <w:tr w:rsidR="000A03EC">
        <w:tc>
          <w:tcPr>
            <w:tcW w:w="52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3EC" w:rsidRDefault="000A03EC">
            <w:pPr>
              <w:pStyle w:val="ConsPlusNormal"/>
            </w:pPr>
            <w:r>
              <w:t>Регистрационный номер диагностической карты</w:t>
            </w:r>
          </w:p>
        </w:tc>
        <w:tc>
          <w:tcPr>
            <w:tcW w:w="3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3EC" w:rsidRDefault="000A03EC">
            <w:pPr>
              <w:pStyle w:val="ConsPlusNormal"/>
            </w:pPr>
          </w:p>
        </w:tc>
      </w:tr>
      <w:tr w:rsidR="000A03EC">
        <w:tc>
          <w:tcPr>
            <w:tcW w:w="4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3EC" w:rsidRDefault="000A03EC">
            <w:pPr>
              <w:pStyle w:val="ConsPlusNormal"/>
            </w:pPr>
            <w:r>
              <w:t>Срок действия диагностической карты</w:t>
            </w:r>
          </w:p>
        </w:tc>
        <w:tc>
          <w:tcPr>
            <w:tcW w:w="49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3EC" w:rsidRDefault="000A03EC">
            <w:pPr>
              <w:pStyle w:val="ConsPlusNormal"/>
            </w:pPr>
          </w:p>
        </w:tc>
      </w:tr>
      <w:tr w:rsidR="000A03EC">
        <w:tc>
          <w:tcPr>
            <w:tcW w:w="874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3EC" w:rsidRDefault="000A03EC">
            <w:pPr>
              <w:pStyle w:val="ConsPlusNormal"/>
              <w:jc w:val="both"/>
            </w:pPr>
            <w:r>
              <w:lastRenderedPageBreak/>
              <w:t>Заключение о возможности (невозможности) эксплуатации транспортного средства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3EC" w:rsidRDefault="000A03EC">
            <w:pPr>
              <w:pStyle w:val="ConsPlusNormal"/>
            </w:pPr>
          </w:p>
        </w:tc>
      </w:tr>
      <w:tr w:rsidR="000A03EC">
        <w:tc>
          <w:tcPr>
            <w:tcW w:w="90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3EC" w:rsidRDefault="000A03EC">
            <w:pPr>
              <w:pStyle w:val="ConsPlusNormal"/>
            </w:pPr>
          </w:p>
        </w:tc>
      </w:tr>
      <w:tr w:rsidR="000A03EC">
        <w:tblPrEx>
          <w:tblBorders>
            <w:insideH w:val="single" w:sz="4" w:space="0" w:color="auto"/>
          </w:tblBorders>
        </w:tblPrEx>
        <w:tc>
          <w:tcPr>
            <w:tcW w:w="66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03EC" w:rsidRDefault="000A03EC">
            <w:pPr>
              <w:pStyle w:val="ConsPlusNormal"/>
            </w:pPr>
            <w:r>
              <w:t>Дата проведения технического осмотра транспортного средства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3EC" w:rsidRDefault="000A03EC">
            <w:pPr>
              <w:pStyle w:val="ConsPlusNormal"/>
            </w:pPr>
          </w:p>
        </w:tc>
      </w:tr>
      <w:tr w:rsidR="000A03EC">
        <w:tc>
          <w:tcPr>
            <w:tcW w:w="59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3EC" w:rsidRDefault="000A03EC">
            <w:pPr>
              <w:pStyle w:val="ConsPlusNormal"/>
            </w:pPr>
            <w:r>
              <w:t>Оператор технического осмотра транспортного средства</w:t>
            </w:r>
          </w:p>
        </w:tc>
        <w:tc>
          <w:tcPr>
            <w:tcW w:w="31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3EC" w:rsidRDefault="000A03EC">
            <w:pPr>
              <w:pStyle w:val="ConsPlusNormal"/>
            </w:pPr>
          </w:p>
        </w:tc>
      </w:tr>
      <w:tr w:rsidR="000A03EC">
        <w:tc>
          <w:tcPr>
            <w:tcW w:w="56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3EC" w:rsidRDefault="000A03EC">
            <w:pPr>
              <w:pStyle w:val="ConsPlusNormal"/>
            </w:pPr>
            <w:r>
              <w:t>Пункт технического осмотра транспортного средства</w:t>
            </w:r>
          </w:p>
        </w:tc>
        <w:tc>
          <w:tcPr>
            <w:tcW w:w="34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3EC" w:rsidRDefault="000A03EC">
            <w:pPr>
              <w:pStyle w:val="ConsPlusNormal"/>
            </w:pPr>
          </w:p>
        </w:tc>
      </w:tr>
    </w:tbl>
    <w:p w:rsidR="000A03EC" w:rsidRDefault="000A03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0"/>
        <w:gridCol w:w="3053"/>
        <w:gridCol w:w="2266"/>
        <w:gridCol w:w="1814"/>
      </w:tblGrid>
      <w:tr w:rsidR="000A03EC">
        <w:tc>
          <w:tcPr>
            <w:tcW w:w="9053" w:type="dxa"/>
            <w:gridSpan w:val="4"/>
          </w:tcPr>
          <w:p w:rsidR="000A03EC" w:rsidRDefault="000A03EC">
            <w:pPr>
              <w:pStyle w:val="ConsPlusNormal"/>
              <w:jc w:val="center"/>
            </w:pPr>
            <w:r>
              <w:t>История проведения технического осмотра транспортного средства</w:t>
            </w:r>
          </w:p>
        </w:tc>
      </w:tr>
      <w:tr w:rsidR="000A03EC">
        <w:tc>
          <w:tcPr>
            <w:tcW w:w="1920" w:type="dxa"/>
          </w:tcPr>
          <w:p w:rsidR="000A03EC" w:rsidRDefault="000A03EC">
            <w:pPr>
              <w:pStyle w:val="ConsPlusNormal"/>
              <w:jc w:val="center"/>
            </w:pPr>
            <w:r>
              <w:t>Дата проведения</w:t>
            </w:r>
          </w:p>
        </w:tc>
        <w:tc>
          <w:tcPr>
            <w:tcW w:w="3053" w:type="dxa"/>
          </w:tcPr>
          <w:p w:rsidR="000A03EC" w:rsidRDefault="000A03EC">
            <w:pPr>
              <w:pStyle w:val="ConsPlusNormal"/>
              <w:jc w:val="center"/>
            </w:pPr>
            <w:r>
              <w:t>Регистрационный номер диагностической карты</w:t>
            </w:r>
          </w:p>
        </w:tc>
        <w:tc>
          <w:tcPr>
            <w:tcW w:w="2266" w:type="dxa"/>
          </w:tcPr>
          <w:p w:rsidR="000A03EC" w:rsidRDefault="000A03EC">
            <w:pPr>
              <w:pStyle w:val="ConsPlusNormal"/>
              <w:jc w:val="center"/>
            </w:pPr>
            <w:r>
              <w:t>Срок действия диагностической карты</w:t>
            </w:r>
          </w:p>
        </w:tc>
        <w:tc>
          <w:tcPr>
            <w:tcW w:w="1814" w:type="dxa"/>
          </w:tcPr>
          <w:p w:rsidR="000A03EC" w:rsidRDefault="000A03EC">
            <w:pPr>
              <w:pStyle w:val="ConsPlusNormal"/>
              <w:jc w:val="center"/>
            </w:pPr>
            <w:r>
              <w:t>Показания одометра</w:t>
            </w:r>
          </w:p>
        </w:tc>
      </w:tr>
      <w:tr w:rsidR="000A03EC">
        <w:tc>
          <w:tcPr>
            <w:tcW w:w="1920" w:type="dxa"/>
          </w:tcPr>
          <w:p w:rsidR="000A03EC" w:rsidRDefault="000A03EC">
            <w:pPr>
              <w:pStyle w:val="ConsPlusNormal"/>
            </w:pPr>
          </w:p>
        </w:tc>
        <w:tc>
          <w:tcPr>
            <w:tcW w:w="3053" w:type="dxa"/>
          </w:tcPr>
          <w:p w:rsidR="000A03EC" w:rsidRDefault="000A03EC">
            <w:pPr>
              <w:pStyle w:val="ConsPlusNormal"/>
            </w:pPr>
          </w:p>
        </w:tc>
        <w:tc>
          <w:tcPr>
            <w:tcW w:w="2266" w:type="dxa"/>
          </w:tcPr>
          <w:p w:rsidR="000A03EC" w:rsidRDefault="000A03EC">
            <w:pPr>
              <w:pStyle w:val="ConsPlusNormal"/>
            </w:pPr>
          </w:p>
        </w:tc>
        <w:tc>
          <w:tcPr>
            <w:tcW w:w="1814" w:type="dxa"/>
          </w:tcPr>
          <w:p w:rsidR="000A03EC" w:rsidRDefault="000A03EC">
            <w:pPr>
              <w:pStyle w:val="ConsPlusNormal"/>
            </w:pPr>
          </w:p>
        </w:tc>
      </w:tr>
    </w:tbl>
    <w:p w:rsidR="000A03EC" w:rsidRDefault="000A03EC">
      <w:pPr>
        <w:pStyle w:val="ConsPlusNormal"/>
        <w:jc w:val="both"/>
      </w:pPr>
    </w:p>
    <w:p w:rsidR="000A03EC" w:rsidRDefault="000A03EC">
      <w:pPr>
        <w:pStyle w:val="ConsPlusNormal"/>
        <w:jc w:val="both"/>
      </w:pPr>
    </w:p>
    <w:p w:rsidR="000A03EC" w:rsidRDefault="000A03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3BE2" w:rsidRDefault="000A03EC">
      <w:bookmarkStart w:id="2" w:name="_GoBack"/>
      <w:bookmarkEnd w:id="2"/>
    </w:p>
    <w:sectPr w:rsidR="00993BE2" w:rsidSect="00BB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EC"/>
    <w:rsid w:val="000A03EC"/>
    <w:rsid w:val="002A6A3A"/>
    <w:rsid w:val="002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3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03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03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3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03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03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0D1ACA0BED52783C7CACF1234DEADDE5ACAE0B21032E7240CCACFA674152679BD037D2CEE871C24DBAA289C8F5FAA92CB0FC5B45LBt7K" TargetMode="External"/><Relationship Id="rId13" Type="http://schemas.openxmlformats.org/officeDocument/2006/relationships/hyperlink" Target="consultantplus://offline/ref=990D1ACA0BED52783C7CACF1234DEADDE5ACAE0B21032E7240CCACFA674152679BD037DAC6E52EC758ABFA84CEEDE4A13AACFE59L4t7K" TargetMode="External"/><Relationship Id="rId18" Type="http://schemas.openxmlformats.org/officeDocument/2006/relationships/hyperlink" Target="consultantplus://offline/ref=990D1ACA0BED52783C7CACF1234DEADDE5ACAE0B21032E7240CCACFA674152679BD037D2CBE871C24DBAA289C8F5FAA92CB0FC5B45LBt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0D1ACA0BED52783C7CACF1234DEADDE5ACAE0B21032E7240CCACFA674152679BD037D2CEEB71C24DBAA289C8F5FAA92CB0FC5B45LBt7K" TargetMode="External"/><Relationship Id="rId12" Type="http://schemas.openxmlformats.org/officeDocument/2006/relationships/hyperlink" Target="consultantplus://offline/ref=990D1ACA0BED52783C7CACF1234DEADDE5ACAE0B21032E7240CCACFA674152679BD037D2CEEE7B941FF5A3D58CA6E9A922B0FE5359B57482LAt0K" TargetMode="External"/><Relationship Id="rId17" Type="http://schemas.openxmlformats.org/officeDocument/2006/relationships/hyperlink" Target="consultantplus://offline/ref=990D1ACA0BED52783C7CACF1234DEADDE5ACAE0B21032E7240CCACFA674152679BD037D2CEE871C24DBAA289C8F5FAA92CB0FC5B45LBt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90D1ACA0BED52783C7CACF1234DEADDE5ACAE0B21032E7240CCACFA674152679BD037DBCCE52EC758ABFA84CEEDE4A13AACFE59L4t7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0D1ACA0BED52783C7CACF1234DEADDE5ACAE0B21032E7240CCACFA674152679BD037D2CEEA71C24DBAA289C8F5FAA92CB0FC5B45LBt7K" TargetMode="External"/><Relationship Id="rId11" Type="http://schemas.openxmlformats.org/officeDocument/2006/relationships/hyperlink" Target="consultantplus://offline/ref=990D1ACA0BED52783C7CACF1234DEADDE5ACAE0B21032E7240CCACFA674152679BD037D2CEEE7B9718F5A3D58CA6E9A922B0FE5359B57482LAt0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90D1ACA0BED52783C7CACF1234DEADDE5ACAE0B21032E7240CCACFA674152679BD037D2CEEF71C24DBAA289C8F5FAA92CB0FC5B45LBt7K" TargetMode="External"/><Relationship Id="rId10" Type="http://schemas.openxmlformats.org/officeDocument/2006/relationships/hyperlink" Target="consultantplus://offline/ref=990D1ACA0BED52783C7CACF1234DEADDE5ACAE0B21032E7240CCACFA674152679BD037D2CEEA71C24DBAA289C8F5FAA92CB0FC5B45LBt7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0D1ACA0BED52783C7CACF1234DEADDE5ABAE0F20012E7240CCACFA6741526789D06FDECEE8649614E0F584CALFt3K" TargetMode="External"/><Relationship Id="rId14" Type="http://schemas.openxmlformats.org/officeDocument/2006/relationships/hyperlink" Target="consultantplus://offline/ref=990D1ACA0BED52783C7CACF1234DEADDE5ACAE0B21032E7240CCACFA674152679BD037D2CEEE71C24DBAA289C8F5FAA92CB0FC5B45LB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Зоткин Алексей Игоревич</dc:creator>
  <cp:lastModifiedBy>Зоткин Алексей Игоревич</cp:lastModifiedBy>
  <cp:revision>1</cp:revision>
  <dcterms:created xsi:type="dcterms:W3CDTF">2020-08-06T10:45:00Z</dcterms:created>
  <dcterms:modified xsi:type="dcterms:W3CDTF">2020-08-06T10:45:00Z</dcterms:modified>
</cp:coreProperties>
</file>